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footer1.xml" ContentType="application/vnd.openxmlformats-officedocument.wordprocessingml.footer+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5146" w:rsidRDefault="00E74799">
      <w:pPr>
        <w:pStyle w:val="Title"/>
      </w:pPr>
      <w:r>
        <w:t xml:space="preserve">Maps, Mobile Tools, and Media Boards: </w:t>
      </w:r>
    </w:p>
    <w:p w:rsidR="001D5146" w:rsidRDefault="00E74799">
      <w:pPr>
        <w:pStyle w:val="Title"/>
      </w:pPr>
      <w:r>
        <w:t>Digital Technologies for Learning About Pawnshops</w:t>
      </w:r>
    </w:p>
    <w:p w:rsidR="001D5146" w:rsidRDefault="001D5146">
      <w:pPr>
        <w:pStyle w:val="Title"/>
      </w:pPr>
    </w:p>
    <w:p w:rsidR="001D5146" w:rsidRDefault="00E74799">
      <w:pPr>
        <w:pStyle w:val="normal0"/>
        <w:jc w:val="center"/>
      </w:pPr>
      <w:r>
        <w:t xml:space="preserve">Laurie </w:t>
      </w:r>
      <w:proofErr w:type="spellStart"/>
      <w:r>
        <w:t>Rubel</w:t>
      </w:r>
      <w:proofErr w:type="spellEnd"/>
      <w:r>
        <w:t>, City University of New York, LRubel@brooklyn.cuny.edu</w:t>
      </w:r>
    </w:p>
    <w:p w:rsidR="001D5146" w:rsidRDefault="00E74799">
      <w:pPr>
        <w:pStyle w:val="normal0"/>
        <w:jc w:val="center"/>
      </w:pPr>
      <w:r>
        <w:t>Vivian Lim, City University of New York, viv.lim@gmail.com</w:t>
      </w:r>
    </w:p>
    <w:p w:rsidR="001D5146" w:rsidRDefault="00E74799">
      <w:pPr>
        <w:pStyle w:val="normal0"/>
        <w:jc w:val="center"/>
      </w:pPr>
      <w:proofErr w:type="spellStart"/>
      <w:r>
        <w:t>Maren</w:t>
      </w:r>
      <w:proofErr w:type="spellEnd"/>
      <w:r>
        <w:t xml:space="preserve"> Hall-</w:t>
      </w:r>
      <w:proofErr w:type="spellStart"/>
      <w:r>
        <w:t>Wieckert</w:t>
      </w:r>
      <w:proofErr w:type="spellEnd"/>
      <w:r>
        <w:t>, City University of New York, maren.hall.wieckert@gmail.com</w:t>
      </w:r>
    </w:p>
    <w:p w:rsidR="001D5146" w:rsidRDefault="00E74799">
      <w:pPr>
        <w:pStyle w:val="normal0"/>
        <w:jc w:val="center"/>
      </w:pPr>
      <w:r>
        <w:t>Sarah Williams, Massachusetts Institute of Technology, sew@mit.edu</w:t>
      </w:r>
    </w:p>
    <w:p w:rsidR="001D5146" w:rsidRDefault="001D5146">
      <w:pPr>
        <w:pStyle w:val="normal0"/>
        <w:jc w:val="center"/>
      </w:pPr>
    </w:p>
    <w:p w:rsidR="001D5146" w:rsidRDefault="00E74799">
      <w:pPr>
        <w:pStyle w:val="normal0"/>
        <w:ind w:left="720" w:right="720"/>
        <w:jc w:val="both"/>
      </w:pPr>
      <w:bookmarkStart w:id="0" w:name="h.gjdgxs" w:colFirst="0" w:colLast="0"/>
      <w:bookmarkEnd w:id="0"/>
      <w:r>
        <w:rPr>
          <w:b/>
        </w:rPr>
        <w:t>Abstract:</w:t>
      </w:r>
      <w:r>
        <w:t xml:space="preserve"> </w:t>
      </w:r>
      <w:r>
        <w:rPr>
          <w:color w:val="444444"/>
          <w:highlight w:val="white"/>
        </w:rPr>
        <w:t>This paper describes how a suite of digital technologies can support the potential of a critic</w:t>
      </w:r>
      <w:r w:rsidR="000832A4">
        <w:rPr>
          <w:color w:val="444444"/>
          <w:highlight w:val="white"/>
        </w:rPr>
        <w:t>al, place-based perspective in</w:t>
      </w:r>
      <w:r>
        <w:rPr>
          <w:color w:val="444444"/>
          <w:highlight w:val="white"/>
        </w:rPr>
        <w:t xml:space="preserve"> mathematics. The </w:t>
      </w:r>
      <w:r w:rsidR="00A86440">
        <w:rPr>
          <w:color w:val="444444"/>
          <w:highlight w:val="white"/>
        </w:rPr>
        <w:t>poster</w:t>
      </w:r>
      <w:r>
        <w:rPr>
          <w:color w:val="444444"/>
          <w:highlight w:val="white"/>
        </w:rPr>
        <w:t xml:space="preserve"> focuses on </w:t>
      </w:r>
      <w:r w:rsidR="00A86440">
        <w:rPr>
          <w:color w:val="444444"/>
          <w:highlight w:val="white"/>
        </w:rPr>
        <w:t>a</w:t>
      </w:r>
      <w:r>
        <w:rPr>
          <w:color w:val="444444"/>
          <w:highlight w:val="white"/>
        </w:rPr>
        <w:t xml:space="preserve"> </w:t>
      </w:r>
      <w:r w:rsidR="00A86440">
        <w:rPr>
          <w:color w:val="444444"/>
          <w:highlight w:val="white"/>
        </w:rPr>
        <w:t xml:space="preserve">curriculum that </w:t>
      </w:r>
      <w:r w:rsidR="000832A4">
        <w:rPr>
          <w:color w:val="444444"/>
          <w:highlight w:val="white"/>
        </w:rPr>
        <w:t xml:space="preserve">uses technologies </w:t>
      </w:r>
      <w:r w:rsidR="00A86440">
        <w:rPr>
          <w:color w:val="444444"/>
          <w:highlight w:val="white"/>
        </w:rPr>
        <w:t xml:space="preserve">to </w:t>
      </w:r>
      <w:r>
        <w:rPr>
          <w:color w:val="444444"/>
          <w:highlight w:val="white"/>
        </w:rPr>
        <w:t>investiga</w:t>
      </w:r>
      <w:r w:rsidR="00A86440">
        <w:rPr>
          <w:color w:val="444444"/>
          <w:highlight w:val="white"/>
        </w:rPr>
        <w:t>te</w:t>
      </w:r>
      <w:r>
        <w:rPr>
          <w:color w:val="444444"/>
          <w:highlight w:val="white"/>
        </w:rPr>
        <w:t xml:space="preserve"> pawnshops.</w:t>
      </w:r>
      <w:r w:rsidR="00A86440">
        <w:rPr>
          <w:color w:val="444444"/>
          <w:highlight w:val="white"/>
        </w:rPr>
        <w:t xml:space="preserve"> </w:t>
      </w:r>
      <w:proofErr w:type="gramStart"/>
      <w:r w:rsidR="00A86440">
        <w:rPr>
          <w:color w:val="444444"/>
          <w:highlight w:val="white"/>
        </w:rPr>
        <w:t>with</w:t>
      </w:r>
      <w:proofErr w:type="gramEnd"/>
      <w:r w:rsidR="00A86440">
        <w:rPr>
          <w:color w:val="444444"/>
          <w:highlight w:val="white"/>
        </w:rPr>
        <w:t xml:space="preserve"> an emphasis on </w:t>
      </w:r>
      <w:r w:rsidR="00A86440">
        <w:rPr>
          <w:color w:val="444444"/>
        </w:rPr>
        <w:t xml:space="preserve"> mathematical understanding, spatial/quantitative, subject/cultural, and social justice dimensions. </w:t>
      </w:r>
      <w:r>
        <w:rPr>
          <w:color w:val="444444"/>
          <w:highlight w:val="white"/>
        </w:rPr>
        <w:t xml:space="preserve">The technologies include interactive digital maps, mobile data collection, and synthesis tools. The </w:t>
      </w:r>
      <w:r w:rsidR="00A86440">
        <w:rPr>
          <w:color w:val="444444"/>
          <w:highlight w:val="white"/>
        </w:rPr>
        <w:t>poster</w:t>
      </w:r>
      <w:r>
        <w:rPr>
          <w:color w:val="444444"/>
          <w:highlight w:val="white"/>
        </w:rPr>
        <w:t xml:space="preserve"> describes the</w:t>
      </w:r>
      <w:r w:rsidR="00A86440">
        <w:rPr>
          <w:color w:val="444444"/>
          <w:highlight w:val="white"/>
        </w:rPr>
        <w:t xml:space="preserve"> role of these technologies</w:t>
      </w:r>
      <w:r w:rsidR="00310984">
        <w:rPr>
          <w:color w:val="444444"/>
          <w:highlight w:val="white"/>
        </w:rPr>
        <w:t>, as well as affordances and challenges</w:t>
      </w:r>
      <w:r w:rsidR="00310984">
        <w:rPr>
          <w:color w:val="444444"/>
        </w:rPr>
        <w:t>.</w:t>
      </w:r>
    </w:p>
    <w:p w:rsidR="001D5146" w:rsidRDefault="001D5146">
      <w:pPr>
        <w:pStyle w:val="normal0"/>
        <w:ind w:firstLine="720"/>
        <w:jc w:val="both"/>
      </w:pPr>
    </w:p>
    <w:p w:rsidR="001D5146" w:rsidRDefault="00E74799">
      <w:pPr>
        <w:pStyle w:val="normal0"/>
        <w:ind w:left="720"/>
      </w:pPr>
      <w:r>
        <w:rPr>
          <w:b/>
        </w:rPr>
        <w:t>Keywords</w:t>
      </w:r>
      <w:r>
        <w:t xml:space="preserve">: </w:t>
      </w:r>
      <w:r>
        <w:rPr>
          <w:color w:val="444444"/>
          <w:highlight w:val="white"/>
        </w:rPr>
        <w:t>mathematics education, instructional technology, social justice</w:t>
      </w:r>
    </w:p>
    <w:p w:rsidR="001D5146" w:rsidRDefault="00E74799">
      <w:pPr>
        <w:pStyle w:val="Heading1"/>
      </w:pPr>
      <w:r>
        <w:t>Introduction</w:t>
      </w:r>
    </w:p>
    <w:p w:rsidR="001D5146" w:rsidRDefault="00E74799">
      <w:pPr>
        <w:pStyle w:val="normal0"/>
        <w:jc w:val="both"/>
      </w:pPr>
      <w:r>
        <w:rPr>
          <w:color w:val="444444"/>
          <w:highlight w:val="white"/>
        </w:rPr>
        <w:t>Critical pedagogy of place (</w:t>
      </w:r>
      <w:proofErr w:type="spellStart"/>
      <w:r>
        <w:rPr>
          <w:color w:val="444444"/>
          <w:highlight w:val="white"/>
        </w:rPr>
        <w:t>CPoP</w:t>
      </w:r>
      <w:proofErr w:type="spellEnd"/>
      <w:r>
        <w:rPr>
          <w:color w:val="444444"/>
          <w:highlight w:val="white"/>
        </w:rPr>
        <w:t xml:space="preserve">, </w:t>
      </w:r>
      <w:proofErr w:type="spellStart"/>
      <w:r>
        <w:rPr>
          <w:color w:val="444444"/>
          <w:highlight w:val="white"/>
        </w:rPr>
        <w:t>Gruenewald</w:t>
      </w:r>
      <w:proofErr w:type="spellEnd"/>
      <w:r>
        <w:rPr>
          <w:color w:val="444444"/>
          <w:highlight w:val="white"/>
        </w:rPr>
        <w:t xml:space="preserve">, 2003) in mathematics integrates themes of critical mathematics education (c.f., </w:t>
      </w:r>
      <w:proofErr w:type="spellStart"/>
      <w:r>
        <w:rPr>
          <w:color w:val="444444"/>
          <w:highlight w:val="white"/>
        </w:rPr>
        <w:t>Gutstein</w:t>
      </w:r>
      <w:proofErr w:type="spellEnd"/>
      <w:r>
        <w:rPr>
          <w:color w:val="444444"/>
          <w:highlight w:val="white"/>
        </w:rPr>
        <w:t xml:space="preserve">, 2005) with perspectives of space/place (Tuan, 1997).  Mathematics can be used to question, elucidate, and communicate issues of social justice, and such explorations can be considered in geo- or socio-spatial terms.  Essential characteristics of urban spaces – their density and </w:t>
      </w:r>
      <w:proofErr w:type="spellStart"/>
      <w:r>
        <w:rPr>
          <w:color w:val="444444"/>
          <w:highlight w:val="white"/>
        </w:rPr>
        <w:t>traversability</w:t>
      </w:r>
      <w:proofErr w:type="spellEnd"/>
      <w:r>
        <w:rPr>
          <w:color w:val="444444"/>
          <w:highlight w:val="white"/>
        </w:rPr>
        <w:t xml:space="preserve"> – make them especially conducive for </w:t>
      </w:r>
      <w:proofErr w:type="spellStart"/>
      <w:r>
        <w:rPr>
          <w:color w:val="444444"/>
          <w:highlight w:val="white"/>
        </w:rPr>
        <w:t>CPoP</w:t>
      </w:r>
      <w:proofErr w:type="spellEnd"/>
      <w:r>
        <w:rPr>
          <w:color w:val="444444"/>
          <w:highlight w:val="white"/>
        </w:rPr>
        <w:t xml:space="preserve">.  This research explores the role of technologies in leveraging the potential of </w:t>
      </w:r>
      <w:proofErr w:type="spellStart"/>
      <w:r>
        <w:rPr>
          <w:color w:val="444444"/>
          <w:highlight w:val="white"/>
        </w:rPr>
        <w:t>CPoP</w:t>
      </w:r>
      <w:proofErr w:type="spellEnd"/>
      <w:r>
        <w:rPr>
          <w:color w:val="444444"/>
          <w:highlight w:val="white"/>
        </w:rPr>
        <w:t xml:space="preserve"> in mathematics, with a specific focus on high schools in underserved, urban neighborhoods in the United States. </w:t>
      </w:r>
    </w:p>
    <w:p w:rsidR="001D5146" w:rsidRDefault="00E74799">
      <w:pPr>
        <w:pStyle w:val="normal0"/>
        <w:ind w:firstLine="720"/>
        <w:jc w:val="both"/>
      </w:pPr>
      <w:r>
        <w:rPr>
          <w:color w:val="444444"/>
          <w:highlight w:val="white"/>
        </w:rPr>
        <w:t>By encompassing data literacy, quantitative reasoning, and modeling, secondary mathematics is a natural disciplinary fit for analyzing “discriminatory geographies,” or spatial justice (</w:t>
      </w:r>
      <w:proofErr w:type="spellStart"/>
      <w:r>
        <w:rPr>
          <w:color w:val="444444"/>
          <w:highlight w:val="white"/>
        </w:rPr>
        <w:t>Soja</w:t>
      </w:r>
      <w:proofErr w:type="spellEnd"/>
      <w:r>
        <w:rPr>
          <w:color w:val="444444"/>
          <w:highlight w:val="white"/>
        </w:rPr>
        <w:t>, 2010)</w:t>
      </w:r>
      <w:proofErr w:type="gramStart"/>
      <w:r>
        <w:rPr>
          <w:color w:val="444444"/>
          <w:highlight w:val="white"/>
        </w:rPr>
        <w:t>.</w:t>
      </w:r>
      <w:proofErr w:type="gramEnd"/>
      <w:r>
        <w:rPr>
          <w:color w:val="444444"/>
          <w:highlight w:val="white"/>
        </w:rPr>
        <w:t xml:space="preserve">  Digital technologies like mobile devices (c.f., </w:t>
      </w:r>
      <w:proofErr w:type="spellStart"/>
      <w:r>
        <w:rPr>
          <w:color w:val="444444"/>
          <w:highlight w:val="white"/>
        </w:rPr>
        <w:t>Trouche</w:t>
      </w:r>
      <w:proofErr w:type="spellEnd"/>
      <w:r>
        <w:rPr>
          <w:color w:val="444444"/>
          <w:highlight w:val="white"/>
        </w:rPr>
        <w:t xml:space="preserve"> &amp; </w:t>
      </w:r>
      <w:proofErr w:type="spellStart"/>
      <w:r>
        <w:rPr>
          <w:color w:val="444444"/>
          <w:highlight w:val="white"/>
        </w:rPr>
        <w:t>Drijvers</w:t>
      </w:r>
      <w:proofErr w:type="spellEnd"/>
      <w:r>
        <w:rPr>
          <w:color w:val="444444"/>
          <w:highlight w:val="white"/>
        </w:rPr>
        <w:t xml:space="preserve">, 2010) or global positioning with mapping software that can readily represent geospatial data (c.f., </w:t>
      </w:r>
      <w:proofErr w:type="spellStart"/>
      <w:r>
        <w:rPr>
          <w:color w:val="444444"/>
          <w:highlight w:val="white"/>
        </w:rPr>
        <w:t>Enyedy</w:t>
      </w:r>
      <w:proofErr w:type="spellEnd"/>
      <w:r>
        <w:rPr>
          <w:color w:val="444444"/>
          <w:highlight w:val="white"/>
        </w:rPr>
        <w:t xml:space="preserve"> &amp; </w:t>
      </w:r>
      <w:proofErr w:type="spellStart"/>
      <w:r>
        <w:rPr>
          <w:color w:val="444444"/>
          <w:highlight w:val="white"/>
        </w:rPr>
        <w:t>Mukhopadhyay</w:t>
      </w:r>
      <w:proofErr w:type="spellEnd"/>
      <w:r>
        <w:rPr>
          <w:color w:val="444444"/>
          <w:highlight w:val="white"/>
        </w:rPr>
        <w:t xml:space="preserve">, 2007) open up possibilities in terms of how critical-spatial themes can be engaged with mathematics. In contrast with the way that technology can be assumed to be a “quick fix” for urban schools (Philip &amp; Garcia, 2013), in this project, we explore and make explicit the affordances and challenges presented by technologies. This poster addresses the research question, </w:t>
      </w:r>
      <w:r>
        <w:rPr>
          <w:highlight w:val="white"/>
        </w:rPr>
        <w:t xml:space="preserve">what role can digital technologies play to support learning in a </w:t>
      </w:r>
      <w:proofErr w:type="spellStart"/>
      <w:r>
        <w:rPr>
          <w:highlight w:val="white"/>
        </w:rPr>
        <w:t>CPoP</w:t>
      </w:r>
      <w:proofErr w:type="spellEnd"/>
      <w:r>
        <w:rPr>
          <w:highlight w:val="white"/>
        </w:rPr>
        <w:t xml:space="preserve"> curriculum? </w:t>
      </w:r>
    </w:p>
    <w:p w:rsidR="001D5146" w:rsidRDefault="00E74799">
      <w:pPr>
        <w:pStyle w:val="Heading1"/>
      </w:pPr>
      <w:r>
        <w:t>Background</w:t>
      </w:r>
    </w:p>
    <w:p w:rsidR="001D5146" w:rsidRDefault="008D4CAE">
      <w:pPr>
        <w:pStyle w:val="normal0"/>
        <w:jc w:val="both"/>
      </w:pPr>
      <w:r>
        <w:rPr>
          <w:color w:val="444444"/>
          <w:highlight w:val="white"/>
        </w:rPr>
        <w:t xml:space="preserve">The </w:t>
      </w:r>
      <w:r w:rsidR="00E74799">
        <w:rPr>
          <w:color w:val="444444"/>
          <w:highlight w:val="white"/>
        </w:rPr>
        <w:t xml:space="preserve">City Digits </w:t>
      </w:r>
      <w:r>
        <w:rPr>
          <w:color w:val="444444"/>
          <w:highlight w:val="white"/>
        </w:rPr>
        <w:t xml:space="preserve">project </w:t>
      </w:r>
      <w:r w:rsidR="00E74799">
        <w:rPr>
          <w:color w:val="444444"/>
          <w:highlight w:val="white"/>
        </w:rPr>
        <w:t>develops and studies innovative resources for high school students’ learning of mathematics with</w:t>
      </w:r>
      <w:r>
        <w:rPr>
          <w:color w:val="444444"/>
          <w:highlight w:val="white"/>
        </w:rPr>
        <w:t xml:space="preserve"> a </w:t>
      </w:r>
      <w:proofErr w:type="spellStart"/>
      <w:r>
        <w:rPr>
          <w:color w:val="444444"/>
          <w:highlight w:val="white"/>
        </w:rPr>
        <w:t>CPoP</w:t>
      </w:r>
      <w:proofErr w:type="spellEnd"/>
      <w:r>
        <w:rPr>
          <w:color w:val="444444"/>
          <w:highlight w:val="white"/>
        </w:rPr>
        <w:t xml:space="preserve"> perspective and </w:t>
      </w:r>
      <w:r w:rsidR="00E74799">
        <w:rPr>
          <w:color w:val="444444"/>
          <w:highlight w:val="white"/>
        </w:rPr>
        <w:t xml:space="preserve">is comprised of iterative cycles of design, testing, and revision, in collaboration with teachers. Findings from implementation lead to new insights and questions, and this fuels additional iterations of the design-based research cycle. This poster describes findings from the second iteration of the cycle with the project’s second module, </w:t>
      </w:r>
      <w:r w:rsidR="00E74799">
        <w:rPr>
          <w:i/>
          <w:color w:val="444444"/>
          <w:highlight w:val="white"/>
        </w:rPr>
        <w:t>Cash City</w:t>
      </w:r>
      <w:r w:rsidR="00E74799">
        <w:rPr>
          <w:color w:val="444444"/>
          <w:highlight w:val="white"/>
        </w:rPr>
        <w:t xml:space="preserve">. </w:t>
      </w:r>
    </w:p>
    <w:p w:rsidR="001D5146" w:rsidRDefault="00E74799">
      <w:pPr>
        <w:pStyle w:val="normal0"/>
        <w:ind w:firstLine="720"/>
        <w:jc w:val="both"/>
      </w:pPr>
      <w:r>
        <w:rPr>
          <w:color w:val="444444"/>
          <w:highlight w:val="white"/>
        </w:rPr>
        <w:t xml:space="preserve">Four </w:t>
      </w:r>
      <w:r>
        <w:rPr>
          <w:highlight w:val="white"/>
        </w:rPr>
        <w:t xml:space="preserve">dimensions of a phenomenon guide the development of </w:t>
      </w:r>
      <w:proofErr w:type="spellStart"/>
      <w:r>
        <w:rPr>
          <w:highlight w:val="white"/>
        </w:rPr>
        <w:t>CPoP</w:t>
      </w:r>
      <w:proofErr w:type="spellEnd"/>
      <w:r>
        <w:rPr>
          <w:highlight w:val="white"/>
        </w:rPr>
        <w:t xml:space="preserve"> curriculum and technologies.  The first is that mathematics is essential for understanding the phenomenon (how does it work?).  Second, the phenomenon must have a spatial (where does it occur?), quantitative dimension (how much/ how often?).  Third, the phenomenon must also include subject and cultural dimensions (who is involved and how do they participate?).  Finally, the fourth dimension is that there must be potential to</w:t>
      </w:r>
      <w:r>
        <w:rPr>
          <w:color w:val="444444"/>
          <w:highlight w:val="white"/>
        </w:rPr>
        <w:t xml:space="preserve"> explore sociopolitical and social justice ramifications (who is impacted, who makes the decisions, and is it fair?).  A project goal is </w:t>
      </w:r>
      <w:proofErr w:type="gramStart"/>
      <w:r>
        <w:rPr>
          <w:color w:val="444444"/>
          <w:highlight w:val="white"/>
        </w:rPr>
        <w:t>to  provide</w:t>
      </w:r>
      <w:proofErr w:type="gramEnd"/>
      <w:r>
        <w:rPr>
          <w:color w:val="444444"/>
          <w:highlight w:val="white"/>
        </w:rPr>
        <w:t xml:space="preserve"> students the opportunity to connect understanding the mathematics of a phenomenon, in socio-spatial context, to questions about social justice that might carry personal significance. The project has developed analog supports to pursue the conceptual understanding of mathematics and in collaboration with MIT’s Civic Data Design Lab, created custom digital tools to support the spatial/quantitative (digital maps), subject/cultural (mobile tools to support field research), and social justice dimensions (synthesis tools). </w:t>
      </w:r>
    </w:p>
    <w:p w:rsidR="001D5146" w:rsidRDefault="00E74799">
      <w:pPr>
        <w:pStyle w:val="Heading1"/>
        <w:jc w:val="both"/>
      </w:pPr>
      <w:bookmarkStart w:id="1" w:name="h.kuhlvunfsbbn" w:colFirst="0" w:colLast="0"/>
      <w:bookmarkEnd w:id="1"/>
      <w:r>
        <w:t>Findings and challenges</w:t>
      </w:r>
    </w:p>
    <w:p w:rsidR="001D5146" w:rsidRDefault="00E74799">
      <w:pPr>
        <w:pStyle w:val="normal0"/>
        <w:jc w:val="both"/>
      </w:pPr>
      <w:r>
        <w:rPr>
          <w:color w:val="444444"/>
        </w:rPr>
        <w:t xml:space="preserve">Spatial/quantitative patterns of New York City demographics were shown on a series of </w:t>
      </w:r>
      <w:proofErr w:type="spellStart"/>
      <w:r>
        <w:rPr>
          <w:color w:val="444444"/>
        </w:rPr>
        <w:t>zoomable</w:t>
      </w:r>
      <w:proofErr w:type="spellEnd"/>
      <w:r>
        <w:rPr>
          <w:color w:val="444444"/>
        </w:rPr>
        <w:t xml:space="preserve">, digital maps, shaded according to data by neighborhood, with overlays of </w:t>
      </w:r>
      <w:proofErr w:type="spellStart"/>
      <w:r>
        <w:rPr>
          <w:color w:val="444444"/>
        </w:rPr>
        <w:t>geolocated</w:t>
      </w:r>
      <w:proofErr w:type="spellEnd"/>
      <w:r>
        <w:rPr>
          <w:color w:val="444444"/>
        </w:rPr>
        <w:t xml:space="preserve"> markers for banks and alternative financial institutions (</w:t>
      </w:r>
      <w:proofErr w:type="spellStart"/>
      <w:r>
        <w:rPr>
          <w:color w:val="444444"/>
        </w:rPr>
        <w:t>AFIs</w:t>
      </w:r>
      <w:proofErr w:type="spellEnd"/>
      <w:r>
        <w:rPr>
          <w:color w:val="444444"/>
        </w:rPr>
        <w:t>). A</w:t>
      </w:r>
      <w:r>
        <w:rPr>
          <w:color w:val="444444"/>
          <w:highlight w:val="white"/>
        </w:rPr>
        <w:t xml:space="preserve"> “Create a Map” feature allowed students to color the map according to the strength of a ratio between two selected variables. For example, students could select the ratio of banks per </w:t>
      </w:r>
      <w:proofErr w:type="spellStart"/>
      <w:r>
        <w:rPr>
          <w:color w:val="444444"/>
          <w:highlight w:val="white"/>
        </w:rPr>
        <w:t>AFIs</w:t>
      </w:r>
      <w:proofErr w:type="spellEnd"/>
      <w:r>
        <w:rPr>
          <w:color w:val="444444"/>
          <w:highlight w:val="white"/>
        </w:rPr>
        <w:t xml:space="preserve">, a ratio that is a relative comparison of the frequency of one institution to another. </w:t>
      </w:r>
      <w:r>
        <w:rPr>
          <w:color w:val="444444"/>
        </w:rPr>
        <w:t xml:space="preserve">The digital maps provided a platform for students to explore patterns in data about neighborhoods and financial institutions in a visual, accessible way. A key finding was that spatial representations, even of their own city, were unfamiliar to students, which limited the full power of the maps to help them make connections to place, especially at the neighborhood or city scale. </w:t>
      </w:r>
    </w:p>
    <w:p w:rsidR="001D5146" w:rsidRDefault="00E74799">
      <w:pPr>
        <w:pStyle w:val="normal0"/>
        <w:ind w:firstLine="720"/>
        <w:jc w:val="both"/>
      </w:pPr>
      <w:r>
        <w:t xml:space="preserve">To investigate the subject/cultural dimension, students conducted field research supported by mobile technologies to explore the location and distribution of financial services in their school neighborhood. </w:t>
      </w:r>
      <w:r>
        <w:rPr>
          <w:highlight w:val="white"/>
        </w:rPr>
        <w:t xml:space="preserve">The mobile tools enabled students to take photographs, conduct and gather audio interviews, and record data.  The GPS functionality of the tools geo-located and published this media on an aggregated, digital map, challenged by </w:t>
      </w:r>
      <w:proofErr w:type="spellStart"/>
      <w:r>
        <w:rPr>
          <w:highlight w:val="white"/>
        </w:rPr>
        <w:t>wifi</w:t>
      </w:r>
      <w:proofErr w:type="spellEnd"/>
      <w:r>
        <w:rPr>
          <w:highlight w:val="white"/>
        </w:rPr>
        <w:t xml:space="preserve">-connectivity and operating system compatibility issues on mobile devices. Students took ownership of collecting data, and showed enthusiasm for the field research component and associated technology. Many pawnshop employees were amenable to students’ visits and open to answering questions about their business. Banks were less welcoming to students and presented corporate policies against photography. Students’ experiences around these two kinds of institutions possibly reinforced the notion of banks as unwelcoming to low-income people, especially in contrast to </w:t>
      </w:r>
      <w:proofErr w:type="spellStart"/>
      <w:r>
        <w:rPr>
          <w:highlight w:val="white"/>
        </w:rPr>
        <w:t>AFIs</w:t>
      </w:r>
      <w:proofErr w:type="spellEnd"/>
      <w:r>
        <w:rPr>
          <w:highlight w:val="white"/>
        </w:rPr>
        <w:t>.</w:t>
      </w:r>
    </w:p>
    <w:p w:rsidR="001D5146" w:rsidRDefault="00E74799">
      <w:pPr>
        <w:pStyle w:val="normal0"/>
        <w:ind w:firstLine="720"/>
        <w:jc w:val="both"/>
      </w:pPr>
      <w:r>
        <w:rPr>
          <w:color w:val="444444"/>
        </w:rPr>
        <w:t xml:space="preserve">Students used synthesis tools to generate opinions around the distribution of financial services based on the class sessions and the field research. </w:t>
      </w:r>
      <w:r>
        <w:rPr>
          <w:color w:val="444444"/>
          <w:highlight w:val="white"/>
        </w:rPr>
        <w:t xml:space="preserve">Students were asked to select and organize media from their field research framed by their understandings about spatial patterns in the digital maps to create a blended media opinion. The goal of the opinion product was for students to communicate, in web-published form, their perspectives about social justice of the local, spatial distribution of financial institutions. The potential of student formulation of a data-enriched opinion about the local distribution of financial services was not fully realized in the short span of this curriculum; students struggled to author opinion statements and justify opinions within the available digital artifact. </w:t>
      </w:r>
    </w:p>
    <w:p w:rsidR="001D5146" w:rsidRDefault="00E74799">
      <w:pPr>
        <w:pStyle w:val="Heading1"/>
        <w:jc w:val="both"/>
      </w:pPr>
      <w:bookmarkStart w:id="2" w:name="h.xpqgra1hxj7l" w:colFirst="0" w:colLast="0"/>
      <w:bookmarkEnd w:id="2"/>
      <w:r>
        <w:t>Conclusions and implications</w:t>
      </w:r>
    </w:p>
    <w:p w:rsidR="001D5146" w:rsidRDefault="00E74799">
      <w:pPr>
        <w:pStyle w:val="normal0"/>
      </w:pPr>
      <w:r>
        <w:t xml:space="preserve">Digital technologies are promising for mediating between students’ mathematical understandings, out of school experiences, and critical thinking about a locally relevant phenomenon. The </w:t>
      </w:r>
      <w:r>
        <w:rPr>
          <w:i/>
        </w:rPr>
        <w:t xml:space="preserve">Cash City </w:t>
      </w:r>
      <w:r>
        <w:t>digital tools enabled students to investigate an issue at multiple levels of scale, from local streetscapes to neighborhood comparisons to trends across the larger city, but greater attention is needed toward supporting students’ spatial literacy, especially at the macro levels of scale. Further exploration of integrating a place-based perspective with critical mathematics might benefit from beginning with the micro or street level of scale and extending outward.</w:t>
      </w:r>
    </w:p>
    <w:p w:rsidR="001D5146" w:rsidRDefault="00E74799">
      <w:pPr>
        <w:pStyle w:val="Heading1"/>
      </w:pPr>
      <w:bookmarkStart w:id="3" w:name="h.ubo605d9cg0z" w:colFirst="0" w:colLast="0"/>
      <w:bookmarkEnd w:id="3"/>
      <w:r>
        <w:t>References</w:t>
      </w:r>
    </w:p>
    <w:p w:rsidR="001D5146" w:rsidRDefault="00E74799" w:rsidP="008D4CAE">
      <w:pPr>
        <w:pStyle w:val="normal0"/>
        <w:tabs>
          <w:tab w:val="left" w:pos="360"/>
        </w:tabs>
        <w:spacing w:line="276" w:lineRule="auto"/>
        <w:ind w:left="360" w:hanging="360"/>
      </w:pPr>
      <w:proofErr w:type="spellStart"/>
      <w:r>
        <w:rPr>
          <w:color w:val="444444"/>
          <w:highlight w:val="white"/>
        </w:rPr>
        <w:t>Enyedy</w:t>
      </w:r>
      <w:proofErr w:type="spellEnd"/>
      <w:r>
        <w:rPr>
          <w:color w:val="444444"/>
          <w:highlight w:val="white"/>
        </w:rPr>
        <w:t xml:space="preserve"> N. &amp; </w:t>
      </w:r>
      <w:proofErr w:type="spellStart"/>
      <w:r>
        <w:rPr>
          <w:color w:val="444444"/>
          <w:highlight w:val="white"/>
        </w:rPr>
        <w:t>Mukhopadhyay</w:t>
      </w:r>
      <w:proofErr w:type="spellEnd"/>
      <w:r>
        <w:rPr>
          <w:color w:val="444444"/>
          <w:highlight w:val="white"/>
        </w:rPr>
        <w:t xml:space="preserve"> S. (2007) “They don’t show nothing I didn’t know”: Emergent tensions between culturally relevant pedagogy and mathematics pedagogy. </w:t>
      </w:r>
      <w:r>
        <w:rPr>
          <w:i/>
          <w:color w:val="444444"/>
          <w:highlight w:val="white"/>
        </w:rPr>
        <w:t xml:space="preserve">Journal of the Learning Sciences, </w:t>
      </w:r>
      <w:r>
        <w:rPr>
          <w:color w:val="444444"/>
          <w:highlight w:val="white"/>
        </w:rPr>
        <w:t>16(2)</w:t>
      </w:r>
      <w:proofErr w:type="gramStart"/>
      <w:r>
        <w:rPr>
          <w:color w:val="444444"/>
          <w:highlight w:val="white"/>
        </w:rPr>
        <w:t>,139</w:t>
      </w:r>
      <w:proofErr w:type="gramEnd"/>
      <w:r>
        <w:rPr>
          <w:color w:val="444444"/>
          <w:highlight w:val="white"/>
        </w:rPr>
        <w:t>–174.</w:t>
      </w:r>
    </w:p>
    <w:p w:rsidR="001D5146" w:rsidRDefault="00E74799" w:rsidP="008D4CAE">
      <w:pPr>
        <w:pStyle w:val="normal0"/>
        <w:tabs>
          <w:tab w:val="left" w:pos="360"/>
        </w:tabs>
        <w:spacing w:line="276" w:lineRule="auto"/>
        <w:ind w:left="360" w:hanging="360"/>
      </w:pPr>
      <w:proofErr w:type="spellStart"/>
      <w:r>
        <w:rPr>
          <w:color w:val="444444"/>
          <w:highlight w:val="white"/>
        </w:rPr>
        <w:t>Gruenewald</w:t>
      </w:r>
      <w:proofErr w:type="spellEnd"/>
      <w:r>
        <w:rPr>
          <w:color w:val="444444"/>
          <w:highlight w:val="white"/>
        </w:rPr>
        <w:t xml:space="preserve">, D. (2003). The best of both worlds: A critical pedagogy of place. </w:t>
      </w:r>
      <w:r>
        <w:rPr>
          <w:i/>
          <w:color w:val="444444"/>
          <w:highlight w:val="white"/>
        </w:rPr>
        <w:t xml:space="preserve">Educational Researcher, </w:t>
      </w:r>
      <w:r>
        <w:rPr>
          <w:color w:val="444444"/>
          <w:highlight w:val="white"/>
        </w:rPr>
        <w:t>32(4), 3–12.</w:t>
      </w:r>
    </w:p>
    <w:p w:rsidR="001D5146" w:rsidRDefault="00E74799" w:rsidP="008D4CAE">
      <w:pPr>
        <w:pStyle w:val="normal0"/>
        <w:tabs>
          <w:tab w:val="left" w:pos="360"/>
        </w:tabs>
        <w:spacing w:line="276" w:lineRule="auto"/>
        <w:ind w:left="360" w:hanging="360"/>
      </w:pPr>
      <w:proofErr w:type="spellStart"/>
      <w:proofErr w:type="gramStart"/>
      <w:r>
        <w:rPr>
          <w:color w:val="444444"/>
          <w:highlight w:val="white"/>
        </w:rPr>
        <w:t>Gutstein</w:t>
      </w:r>
      <w:proofErr w:type="spellEnd"/>
      <w:r>
        <w:rPr>
          <w:color w:val="444444"/>
          <w:highlight w:val="white"/>
        </w:rPr>
        <w:t>, E. (2005).</w:t>
      </w:r>
      <w:proofErr w:type="gramEnd"/>
      <w:r>
        <w:rPr>
          <w:color w:val="444444"/>
          <w:highlight w:val="white"/>
        </w:rPr>
        <w:t xml:space="preserve"> </w:t>
      </w:r>
      <w:r>
        <w:rPr>
          <w:i/>
          <w:color w:val="444444"/>
          <w:highlight w:val="white"/>
        </w:rPr>
        <w:t xml:space="preserve">Reading and writing the world with mathematics: toward </w:t>
      </w:r>
      <w:proofErr w:type="gramStart"/>
      <w:r>
        <w:rPr>
          <w:i/>
          <w:color w:val="444444"/>
          <w:highlight w:val="white"/>
        </w:rPr>
        <w:t>a pedagogy</w:t>
      </w:r>
      <w:proofErr w:type="gramEnd"/>
      <w:r>
        <w:rPr>
          <w:i/>
          <w:color w:val="444444"/>
          <w:highlight w:val="white"/>
        </w:rPr>
        <w:t xml:space="preserve"> for social justice</w:t>
      </w:r>
      <w:r>
        <w:rPr>
          <w:color w:val="444444"/>
          <w:highlight w:val="white"/>
        </w:rPr>
        <w:t xml:space="preserve">. New York: </w:t>
      </w:r>
      <w:proofErr w:type="spellStart"/>
      <w:r>
        <w:rPr>
          <w:color w:val="444444"/>
          <w:highlight w:val="white"/>
        </w:rPr>
        <w:t>Routledge</w:t>
      </w:r>
      <w:proofErr w:type="spellEnd"/>
      <w:r>
        <w:rPr>
          <w:color w:val="444444"/>
          <w:highlight w:val="white"/>
        </w:rPr>
        <w:t>.</w:t>
      </w:r>
    </w:p>
    <w:p w:rsidR="001D5146" w:rsidRDefault="00E74799" w:rsidP="008D4CAE">
      <w:pPr>
        <w:pStyle w:val="normal0"/>
        <w:tabs>
          <w:tab w:val="left" w:pos="360"/>
        </w:tabs>
        <w:spacing w:line="276" w:lineRule="auto"/>
        <w:ind w:left="360" w:hanging="360"/>
      </w:pPr>
      <w:r>
        <w:rPr>
          <w:color w:val="444444"/>
          <w:highlight w:val="white"/>
        </w:rPr>
        <w:t xml:space="preserve">Philip, T. A. &amp; Garcia, A. D. (2013). The importance of still teaching the </w:t>
      </w:r>
      <w:proofErr w:type="spellStart"/>
      <w:r>
        <w:rPr>
          <w:color w:val="444444"/>
          <w:highlight w:val="white"/>
        </w:rPr>
        <w:t>iGeneration</w:t>
      </w:r>
      <w:proofErr w:type="spellEnd"/>
      <w:r>
        <w:rPr>
          <w:color w:val="444444"/>
          <w:highlight w:val="white"/>
        </w:rPr>
        <w:t xml:space="preserve">: New technologies and the centrality of pedagogy. </w:t>
      </w:r>
      <w:proofErr w:type="gramStart"/>
      <w:r>
        <w:rPr>
          <w:i/>
          <w:color w:val="444444"/>
          <w:highlight w:val="white"/>
        </w:rPr>
        <w:t>Harvard Educational Review, 83</w:t>
      </w:r>
      <w:r>
        <w:rPr>
          <w:color w:val="444444"/>
          <w:highlight w:val="white"/>
        </w:rPr>
        <w:t>(2), 300-319.</w:t>
      </w:r>
      <w:proofErr w:type="gramEnd"/>
    </w:p>
    <w:p w:rsidR="001D5146" w:rsidRDefault="00E74799" w:rsidP="008D4CAE">
      <w:pPr>
        <w:pStyle w:val="normal0"/>
        <w:tabs>
          <w:tab w:val="left" w:pos="360"/>
        </w:tabs>
        <w:spacing w:line="276" w:lineRule="auto"/>
        <w:ind w:left="360" w:hanging="360"/>
      </w:pPr>
      <w:proofErr w:type="spellStart"/>
      <w:r>
        <w:rPr>
          <w:color w:val="444444"/>
          <w:highlight w:val="white"/>
        </w:rPr>
        <w:t>Soja</w:t>
      </w:r>
      <w:proofErr w:type="spellEnd"/>
      <w:r>
        <w:rPr>
          <w:color w:val="444444"/>
          <w:highlight w:val="white"/>
        </w:rPr>
        <w:t xml:space="preserve">, E. W. (2010). </w:t>
      </w:r>
      <w:r>
        <w:rPr>
          <w:i/>
          <w:color w:val="444444"/>
          <w:highlight w:val="white"/>
        </w:rPr>
        <w:t>Seeking spatial justice</w:t>
      </w:r>
      <w:r>
        <w:rPr>
          <w:color w:val="444444"/>
          <w:highlight w:val="white"/>
        </w:rPr>
        <w:t>. Minneapolis: U of Minnesota Press.</w:t>
      </w:r>
    </w:p>
    <w:p w:rsidR="001D5146" w:rsidRDefault="00E74799" w:rsidP="008D4CAE">
      <w:pPr>
        <w:pStyle w:val="normal0"/>
        <w:tabs>
          <w:tab w:val="left" w:pos="360"/>
        </w:tabs>
        <w:spacing w:line="276" w:lineRule="auto"/>
        <w:ind w:left="360" w:hanging="360"/>
      </w:pPr>
      <w:proofErr w:type="spellStart"/>
      <w:r>
        <w:rPr>
          <w:color w:val="444444"/>
          <w:highlight w:val="white"/>
        </w:rPr>
        <w:t>Trouche</w:t>
      </w:r>
      <w:proofErr w:type="spellEnd"/>
      <w:r>
        <w:rPr>
          <w:color w:val="444444"/>
          <w:highlight w:val="white"/>
        </w:rPr>
        <w:t xml:space="preserve">, L., &amp; </w:t>
      </w:r>
      <w:proofErr w:type="spellStart"/>
      <w:r>
        <w:rPr>
          <w:color w:val="444444"/>
          <w:highlight w:val="white"/>
        </w:rPr>
        <w:t>Drijvers</w:t>
      </w:r>
      <w:proofErr w:type="spellEnd"/>
      <w:r>
        <w:rPr>
          <w:color w:val="444444"/>
          <w:highlight w:val="white"/>
        </w:rPr>
        <w:t xml:space="preserve">, P. (2010). Handheld technology for mathematics education: Flashback into the future. </w:t>
      </w:r>
      <w:proofErr w:type="gramStart"/>
      <w:r>
        <w:rPr>
          <w:i/>
          <w:color w:val="444444"/>
          <w:highlight w:val="white"/>
        </w:rPr>
        <w:t>ZDM, 42</w:t>
      </w:r>
      <w:r>
        <w:rPr>
          <w:color w:val="444444"/>
          <w:highlight w:val="white"/>
        </w:rPr>
        <w:t>(7), 667-681.</w:t>
      </w:r>
      <w:proofErr w:type="gramEnd"/>
    </w:p>
    <w:p w:rsidR="001D5146" w:rsidRDefault="00E74799" w:rsidP="008D4CAE">
      <w:pPr>
        <w:pStyle w:val="normal0"/>
        <w:tabs>
          <w:tab w:val="left" w:pos="360"/>
        </w:tabs>
        <w:spacing w:line="276" w:lineRule="auto"/>
        <w:ind w:left="360" w:hanging="360"/>
      </w:pPr>
      <w:r>
        <w:rPr>
          <w:color w:val="444444"/>
          <w:highlight w:val="white"/>
        </w:rPr>
        <w:t xml:space="preserve">Tuan, Y. F. (1977). </w:t>
      </w:r>
      <w:r>
        <w:rPr>
          <w:i/>
          <w:color w:val="444444"/>
          <w:highlight w:val="white"/>
        </w:rPr>
        <w:t>Space and place: The perspective of experience.</w:t>
      </w:r>
      <w:r>
        <w:rPr>
          <w:color w:val="444444"/>
          <w:highlight w:val="white"/>
        </w:rPr>
        <w:t xml:space="preserve"> University of Minnesota Press.</w:t>
      </w:r>
    </w:p>
    <w:p w:rsidR="001D5146" w:rsidRDefault="00E74799">
      <w:pPr>
        <w:pStyle w:val="Heading1"/>
        <w:spacing w:line="276" w:lineRule="auto"/>
        <w:ind w:left="540" w:hanging="538"/>
      </w:pPr>
      <w:bookmarkStart w:id="4" w:name="h.ibj2nu6gx3oq" w:colFirst="0" w:colLast="0"/>
      <w:bookmarkEnd w:id="4"/>
      <w:r>
        <w:t>Acknowledgments</w:t>
      </w:r>
    </w:p>
    <w:p w:rsidR="001D5146" w:rsidRDefault="00E74799">
      <w:pPr>
        <w:pStyle w:val="normal0"/>
        <w:spacing w:after="200" w:line="276" w:lineRule="auto"/>
      </w:pPr>
      <w:r>
        <w:rPr>
          <w:color w:val="444444"/>
          <w:highlight w:val="white"/>
        </w:rPr>
        <w:t xml:space="preserve">This material is based upon work supported by the National Science Foundation under Grant No. DRL-1222430. Any opinions, findings, and conclusions or recommendations expressed in this material are those of the authors and do not necessarily reflect the views of the National Science Foundation. </w:t>
      </w:r>
    </w:p>
    <w:sectPr w:rsidR="001D5146" w:rsidSect="001D5146">
      <w:footerReference w:type="default" r:id="rId4"/>
      <w:pgSz w:w="11909" w:h="16834"/>
      <w:pgMar w:top="1800" w:right="1440" w:bottom="180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146" w:rsidRDefault="001D5146">
    <w:pPr>
      <w:pStyle w:val="normal0"/>
      <w:tabs>
        <w:tab w:val="center" w:pos="4680"/>
        <w:tab w:val="right" w:pos="9360"/>
      </w:tabs>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compat/>
  <w:rsids>
    <w:rsidRoot w:val="001D5146"/>
    <w:rsid w:val="000832A4"/>
    <w:rsid w:val="000A1586"/>
    <w:rsid w:val="001D5146"/>
    <w:rsid w:val="00310984"/>
    <w:rsid w:val="008D4CAE"/>
    <w:rsid w:val="00A86440"/>
    <w:rsid w:val="00C15FB5"/>
    <w:rsid w:val="00E74799"/>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86"/>
  </w:style>
  <w:style w:type="paragraph" w:styleId="Heading1">
    <w:name w:val="heading 1"/>
    <w:basedOn w:val="normal0"/>
    <w:next w:val="normal0"/>
    <w:rsid w:val="001D5146"/>
    <w:pPr>
      <w:keepNext/>
      <w:keepLines/>
      <w:spacing w:before="240"/>
      <w:outlineLvl w:val="0"/>
    </w:pPr>
    <w:rPr>
      <w:rFonts w:ascii="Arial" w:eastAsia="Arial" w:hAnsi="Arial" w:cs="Arial"/>
      <w:b/>
      <w:sz w:val="24"/>
    </w:rPr>
  </w:style>
  <w:style w:type="paragraph" w:styleId="Heading2">
    <w:name w:val="heading 2"/>
    <w:basedOn w:val="normal0"/>
    <w:next w:val="normal0"/>
    <w:rsid w:val="001D5146"/>
    <w:pPr>
      <w:keepNext/>
      <w:keepLines/>
      <w:spacing w:before="200"/>
      <w:outlineLvl w:val="1"/>
    </w:pPr>
    <w:rPr>
      <w:rFonts w:ascii="Arial" w:eastAsia="Arial" w:hAnsi="Arial" w:cs="Arial"/>
      <w:sz w:val="24"/>
    </w:rPr>
  </w:style>
  <w:style w:type="paragraph" w:styleId="Heading3">
    <w:name w:val="heading 3"/>
    <w:basedOn w:val="normal0"/>
    <w:next w:val="normal0"/>
    <w:rsid w:val="001D5146"/>
    <w:pPr>
      <w:keepNext/>
      <w:keepLines/>
      <w:spacing w:before="200"/>
      <w:outlineLvl w:val="2"/>
    </w:pPr>
    <w:rPr>
      <w:rFonts w:ascii="Arial" w:eastAsia="Arial" w:hAnsi="Arial" w:cs="Arial"/>
      <w:u w:val="single"/>
    </w:rPr>
  </w:style>
  <w:style w:type="paragraph" w:styleId="Heading4">
    <w:name w:val="heading 4"/>
    <w:basedOn w:val="normal0"/>
    <w:next w:val="normal0"/>
    <w:rsid w:val="001D5146"/>
    <w:pPr>
      <w:keepNext/>
      <w:keepLines/>
      <w:spacing w:before="240" w:after="40"/>
      <w:contextualSpacing/>
      <w:outlineLvl w:val="3"/>
    </w:pPr>
    <w:rPr>
      <w:b/>
      <w:sz w:val="24"/>
    </w:rPr>
  </w:style>
  <w:style w:type="paragraph" w:styleId="Heading5">
    <w:name w:val="heading 5"/>
    <w:basedOn w:val="normal0"/>
    <w:next w:val="normal0"/>
    <w:rsid w:val="001D5146"/>
    <w:pPr>
      <w:keepNext/>
      <w:keepLines/>
      <w:spacing w:before="220" w:after="40"/>
      <w:contextualSpacing/>
      <w:outlineLvl w:val="4"/>
    </w:pPr>
    <w:rPr>
      <w:b/>
      <w:sz w:val="22"/>
    </w:rPr>
  </w:style>
  <w:style w:type="paragraph" w:styleId="Heading6">
    <w:name w:val="heading 6"/>
    <w:basedOn w:val="normal0"/>
    <w:next w:val="normal0"/>
    <w:rsid w:val="001D5146"/>
    <w:pPr>
      <w:keepNext/>
      <w:keepLines/>
      <w:spacing w:before="200" w:after="40"/>
      <w:contextualSpacing/>
      <w:outlineLvl w:val="5"/>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1D5146"/>
  </w:style>
  <w:style w:type="paragraph" w:styleId="Title">
    <w:name w:val="Title"/>
    <w:basedOn w:val="normal0"/>
    <w:next w:val="normal0"/>
    <w:rsid w:val="001D5146"/>
    <w:pPr>
      <w:keepNext/>
      <w:keepLines/>
      <w:jc w:val="center"/>
    </w:pPr>
    <w:rPr>
      <w:rFonts w:ascii="Arial" w:eastAsia="Arial" w:hAnsi="Arial" w:cs="Arial"/>
      <w:b/>
      <w:sz w:val="28"/>
    </w:rPr>
  </w:style>
  <w:style w:type="paragraph" w:styleId="Subtitle">
    <w:name w:val="Subtitle"/>
    <w:basedOn w:val="normal0"/>
    <w:next w:val="normal0"/>
    <w:rsid w:val="001D5146"/>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1D5146"/>
    <w:rPr>
      <w:sz w:val="24"/>
      <w:szCs w:val="24"/>
    </w:rPr>
  </w:style>
  <w:style w:type="character" w:customStyle="1" w:styleId="CommentTextChar">
    <w:name w:val="Comment Text Char"/>
    <w:basedOn w:val="DefaultParagraphFont"/>
    <w:link w:val="CommentText"/>
    <w:uiPriority w:val="99"/>
    <w:semiHidden/>
    <w:rsid w:val="001D5146"/>
    <w:rPr>
      <w:sz w:val="24"/>
      <w:szCs w:val="24"/>
    </w:rPr>
  </w:style>
  <w:style w:type="character" w:styleId="CommentReference">
    <w:name w:val="annotation reference"/>
    <w:basedOn w:val="DefaultParagraphFont"/>
    <w:uiPriority w:val="99"/>
    <w:semiHidden/>
    <w:unhideWhenUsed/>
    <w:rsid w:val="001D5146"/>
    <w:rPr>
      <w:sz w:val="18"/>
      <w:szCs w:val="18"/>
    </w:rPr>
  </w:style>
  <w:style w:type="paragraph" w:styleId="BalloonText">
    <w:name w:val="Balloon Text"/>
    <w:basedOn w:val="Normal"/>
    <w:link w:val="BalloonTextChar"/>
    <w:uiPriority w:val="99"/>
    <w:semiHidden/>
    <w:unhideWhenUsed/>
    <w:rsid w:val="00E74799"/>
    <w:rPr>
      <w:rFonts w:ascii="Lucida Grande" w:hAnsi="Lucida Grande"/>
      <w:sz w:val="18"/>
      <w:szCs w:val="18"/>
    </w:rPr>
  </w:style>
  <w:style w:type="character" w:customStyle="1" w:styleId="BalloonTextChar">
    <w:name w:val="Balloon Text Char"/>
    <w:basedOn w:val="DefaultParagraphFont"/>
    <w:link w:val="BalloonText"/>
    <w:uiPriority w:val="99"/>
    <w:semiHidden/>
    <w:rsid w:val="00E7479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1285</Words>
  <Characters>7325</Characters>
  <Application>Microsoft Macintosh Word</Application>
  <DocSecurity>0</DocSecurity>
  <Lines>61</Lines>
  <Paragraphs>14</Paragraphs>
  <ScaleCrop>false</ScaleCrop>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CSCL2015_2pager.docx</dc:title>
  <cp:lastModifiedBy>Laurie Rubel</cp:lastModifiedBy>
  <cp:revision>6</cp:revision>
  <dcterms:created xsi:type="dcterms:W3CDTF">2015-02-13T13:12:00Z</dcterms:created>
  <dcterms:modified xsi:type="dcterms:W3CDTF">2015-02-14T03:34:00Z</dcterms:modified>
</cp:coreProperties>
</file>